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749" w:rsidRDefault="00455789">
      <w:pPr>
        <w:snapToGrid w:val="0"/>
        <w:spacing w:line="480" w:lineRule="atLeast"/>
        <w:jc w:val="center"/>
      </w:pPr>
      <w:r>
        <w:rPr>
          <w:rFonts w:ascii="標楷體" w:eastAsia="標楷體" w:hAnsi="標楷體"/>
          <w:bCs/>
          <w:sz w:val="36"/>
          <w:szCs w:val="36"/>
        </w:rPr>
        <w:t>2022臺北國際食品展覽會-臺灣館</w:t>
      </w:r>
      <w:r>
        <w:rPr>
          <w:rFonts w:ascii="標楷體" w:eastAsia="標楷體" w:hAnsi="標楷體"/>
          <w:b/>
          <w:bCs/>
          <w:sz w:val="36"/>
          <w:szCs w:val="36"/>
        </w:rPr>
        <w:t>水產品區</w:t>
      </w:r>
    </w:p>
    <w:p w:rsidR="00385749" w:rsidRDefault="00455789">
      <w:pPr>
        <w:snapToGrid w:val="0"/>
        <w:spacing w:line="480" w:lineRule="atLeast"/>
        <w:jc w:val="center"/>
      </w:pPr>
      <w:r>
        <w:rPr>
          <w:rFonts w:ascii="標楷體" w:eastAsia="標楷體" w:hAnsi="標楷體"/>
          <w:bCs/>
          <w:sz w:val="36"/>
          <w:szCs w:val="36"/>
        </w:rPr>
        <w:t>參展廠商報名辦法</w:t>
      </w:r>
    </w:p>
    <w:p w:rsidR="00385749" w:rsidRDefault="00455789">
      <w:pPr>
        <w:numPr>
          <w:ilvl w:val="0"/>
          <w:numId w:val="1"/>
        </w:numPr>
        <w:snapToGrid w:val="0"/>
        <w:spacing w:line="440" w:lineRule="atLeast"/>
        <w:rPr>
          <w:rFonts w:ascii="標楷體" w:eastAsia="標楷體" w:hAnsi="標楷體"/>
          <w:bCs/>
          <w:sz w:val="28"/>
          <w:szCs w:val="28"/>
        </w:rPr>
      </w:pPr>
      <w:r>
        <w:rPr>
          <w:rFonts w:ascii="標楷體" w:eastAsia="標楷體" w:hAnsi="標楷體"/>
          <w:bCs/>
          <w:sz w:val="28"/>
          <w:szCs w:val="28"/>
        </w:rPr>
        <w:t>活動宗旨：</w:t>
      </w:r>
    </w:p>
    <w:p w:rsidR="00385749" w:rsidRDefault="00455789">
      <w:pPr>
        <w:snapToGrid w:val="0"/>
        <w:spacing w:line="440" w:lineRule="atLeast"/>
        <w:ind w:left="557" w:firstLine="280"/>
        <w:jc w:val="both"/>
      </w:pPr>
      <w:r>
        <w:rPr>
          <w:rFonts w:ascii="標楷體" w:eastAsia="標楷體" w:hAnsi="標楷體"/>
          <w:bCs/>
          <w:sz w:val="28"/>
          <w:szCs w:val="28"/>
        </w:rPr>
        <w:t xml:space="preserve">  臺北國際食品展覽會（以下簡稱食品展）</w:t>
      </w:r>
      <w:r>
        <w:rPr>
          <w:rFonts w:ascii="標楷體" w:eastAsia="標楷體" w:hAnsi="標楷體"/>
          <w:sz w:val="28"/>
          <w:szCs w:val="28"/>
        </w:rPr>
        <w:t>為亞洲重要國際綜合食品展之一</w:t>
      </w:r>
      <w:r>
        <w:rPr>
          <w:rFonts w:ascii="標楷體" w:eastAsia="標楷體" w:hAnsi="標楷體"/>
          <w:bCs/>
          <w:sz w:val="28"/>
          <w:szCs w:val="28"/>
        </w:rPr>
        <w:t>，歷年來行政院農業委員會（以下簡稱農委會）均於食品展中設立臺灣館，以宣揚臺灣農業。</w:t>
      </w:r>
      <w:r>
        <w:rPr>
          <w:rFonts w:ascii="標楷體" w:eastAsia="標楷體" w:hAnsi="標楷體"/>
          <w:sz w:val="28"/>
          <w:szCs w:val="28"/>
        </w:rPr>
        <w:t>臺灣館將聚焦於具臺灣特色且供應鏈健全之主力外銷品項，除主舞臺及形象區外，並規劃TGA品牌區、農糧產品區、農村好物區、水產品區、畜禽產品區、調理食品區等，其中水產品區</w:t>
      </w:r>
      <w:r>
        <w:rPr>
          <w:rFonts w:ascii="標楷體" w:eastAsia="標楷體" w:hAnsi="標楷體"/>
          <w:bCs/>
          <w:sz w:val="28"/>
          <w:szCs w:val="28"/>
        </w:rPr>
        <w:t>由漁業署（以下簡稱本署）主政。</w:t>
      </w:r>
    </w:p>
    <w:p w:rsidR="00385749" w:rsidRDefault="00455789">
      <w:pPr>
        <w:numPr>
          <w:ilvl w:val="0"/>
          <w:numId w:val="1"/>
        </w:numPr>
        <w:snapToGrid w:val="0"/>
        <w:spacing w:line="440" w:lineRule="atLeast"/>
      </w:pPr>
      <w:r>
        <w:rPr>
          <w:rFonts w:ascii="標楷體" w:eastAsia="標楷體" w:hAnsi="標楷體"/>
          <w:bCs/>
          <w:sz w:val="28"/>
          <w:szCs w:val="28"/>
        </w:rPr>
        <w:t>展出地點：</w:t>
      </w:r>
      <w:r>
        <w:rPr>
          <w:rFonts w:ascii="標楷體" w:eastAsia="標楷體" w:hAnsi="標楷體"/>
          <w:bCs/>
          <w:sz w:val="28"/>
          <w:szCs w:val="28"/>
          <w:u w:val="single"/>
        </w:rPr>
        <w:t>臺北南港展覽館2館4樓(地址：臺北市南港區經貿二路2號)。</w:t>
      </w:r>
    </w:p>
    <w:p w:rsidR="00385749" w:rsidRDefault="00455789">
      <w:pPr>
        <w:numPr>
          <w:ilvl w:val="0"/>
          <w:numId w:val="1"/>
        </w:numPr>
        <w:snapToGrid w:val="0"/>
        <w:spacing w:line="440" w:lineRule="atLeast"/>
        <w:rPr>
          <w:rFonts w:ascii="標楷體" w:eastAsia="標楷體" w:hAnsi="標楷體"/>
          <w:bCs/>
          <w:sz w:val="28"/>
          <w:szCs w:val="28"/>
        </w:rPr>
      </w:pPr>
      <w:r>
        <w:rPr>
          <w:rFonts w:ascii="標楷體" w:eastAsia="標楷體" w:hAnsi="標楷體"/>
          <w:bCs/>
          <w:sz w:val="28"/>
          <w:szCs w:val="28"/>
        </w:rPr>
        <w:t>展出時間：111年6月22日(星期三)至6月25日(星期六)。</w:t>
      </w:r>
    </w:p>
    <w:p w:rsidR="00385749" w:rsidRDefault="00455789">
      <w:pPr>
        <w:numPr>
          <w:ilvl w:val="0"/>
          <w:numId w:val="1"/>
        </w:numPr>
        <w:snapToGrid w:val="0"/>
        <w:spacing w:line="440" w:lineRule="atLeast"/>
        <w:rPr>
          <w:rFonts w:ascii="標楷體" w:eastAsia="標楷體" w:hAnsi="標楷體"/>
          <w:bCs/>
          <w:sz w:val="28"/>
          <w:szCs w:val="28"/>
        </w:rPr>
      </w:pPr>
      <w:r>
        <w:rPr>
          <w:rFonts w:ascii="標楷體" w:eastAsia="標楷體" w:hAnsi="標楷體"/>
          <w:bCs/>
          <w:sz w:val="28"/>
          <w:szCs w:val="28"/>
        </w:rPr>
        <w:t>展示對象：展期內前三日(6月22～24日)僅開放專業買主進場，最後一日(6月25日)開放民眾購票進場。</w:t>
      </w:r>
    </w:p>
    <w:p w:rsidR="00385749" w:rsidRDefault="00455789">
      <w:pPr>
        <w:numPr>
          <w:ilvl w:val="0"/>
          <w:numId w:val="1"/>
        </w:numPr>
        <w:snapToGrid w:val="0"/>
        <w:spacing w:line="440" w:lineRule="atLeast"/>
        <w:rPr>
          <w:rFonts w:ascii="標楷體" w:eastAsia="標楷體" w:hAnsi="標楷體"/>
          <w:bCs/>
          <w:sz w:val="28"/>
          <w:szCs w:val="28"/>
        </w:rPr>
      </w:pPr>
      <w:r>
        <w:rPr>
          <w:rFonts w:ascii="標楷體" w:eastAsia="標楷體" w:hAnsi="標楷體"/>
          <w:bCs/>
          <w:sz w:val="28"/>
          <w:szCs w:val="28"/>
        </w:rPr>
        <w:t>攤位資訊：</w:t>
      </w:r>
    </w:p>
    <w:p w:rsidR="00385749" w:rsidRDefault="00455789">
      <w:pPr>
        <w:numPr>
          <w:ilvl w:val="0"/>
          <w:numId w:val="2"/>
        </w:numPr>
        <w:snapToGrid w:val="0"/>
        <w:spacing w:line="440" w:lineRule="atLeast"/>
        <w:jc w:val="both"/>
      </w:pPr>
      <w:r>
        <w:rPr>
          <w:rFonts w:ascii="標楷體" w:eastAsia="標楷體" w:hAnsi="標楷體"/>
          <w:bCs/>
          <w:sz w:val="28"/>
          <w:szCs w:val="28"/>
        </w:rPr>
        <w:t>水產品區（以下簡稱本區）共15個攤位，每個攤位為9平方公尺(3公尺×3公尺)</w:t>
      </w:r>
      <w:r>
        <w:rPr>
          <w:rFonts w:ascii="標楷體" w:eastAsia="標楷體" w:hAnsi="標楷體"/>
          <w:sz w:val="28"/>
          <w:szCs w:val="28"/>
        </w:rPr>
        <w:t>，除正取15位參展廠商外，將預留8位備選廠商以供遞補</w:t>
      </w:r>
      <w:r>
        <w:rPr>
          <w:rFonts w:ascii="標楷體" w:eastAsia="標楷體" w:hAnsi="標楷體"/>
          <w:bCs/>
          <w:sz w:val="28"/>
          <w:szCs w:val="28"/>
        </w:rPr>
        <w:t>。</w:t>
      </w:r>
    </w:p>
    <w:p w:rsidR="00385749" w:rsidRDefault="00455789">
      <w:pPr>
        <w:numPr>
          <w:ilvl w:val="0"/>
          <w:numId w:val="2"/>
        </w:numPr>
        <w:snapToGrid w:val="0"/>
        <w:spacing w:line="440" w:lineRule="atLeast"/>
        <w:jc w:val="both"/>
      </w:pPr>
      <w:r>
        <w:rPr>
          <w:rFonts w:eastAsia="標楷體"/>
          <w:bCs/>
          <w:sz w:val="28"/>
          <w:szCs w:val="28"/>
        </w:rPr>
        <w:t>攤位標準配備：</w:t>
      </w:r>
      <w:r>
        <w:rPr>
          <w:rFonts w:eastAsia="標楷體"/>
          <w:bCs/>
          <w:sz w:val="28"/>
          <w:szCs w:val="28"/>
        </w:rPr>
        <w:t>2</w:t>
      </w:r>
      <w:r>
        <w:rPr>
          <w:rFonts w:eastAsia="標楷體"/>
          <w:bCs/>
          <w:sz w:val="28"/>
          <w:szCs w:val="28"/>
        </w:rPr>
        <w:t>桌</w:t>
      </w:r>
      <w:r>
        <w:rPr>
          <w:rFonts w:eastAsia="標楷體"/>
          <w:bCs/>
          <w:sz w:val="28"/>
          <w:szCs w:val="28"/>
        </w:rPr>
        <w:t>(</w:t>
      </w:r>
      <w:r>
        <w:rPr>
          <w:rFonts w:eastAsia="標楷體"/>
          <w:bCs/>
          <w:sz w:val="28"/>
          <w:szCs w:val="28"/>
        </w:rPr>
        <w:t>玻璃桌與接待桌各一</w:t>
      </w:r>
      <w:r>
        <w:rPr>
          <w:rFonts w:eastAsia="標楷體"/>
          <w:bCs/>
          <w:sz w:val="28"/>
          <w:szCs w:val="28"/>
        </w:rPr>
        <w:t>)</w:t>
      </w:r>
      <w:r>
        <w:rPr>
          <w:rFonts w:eastAsia="標楷體"/>
          <w:bCs/>
          <w:sz w:val="28"/>
          <w:szCs w:val="28"/>
        </w:rPr>
        <w:t>、</w:t>
      </w:r>
      <w:r>
        <w:rPr>
          <w:rFonts w:eastAsia="標楷體"/>
          <w:bCs/>
          <w:sz w:val="28"/>
          <w:szCs w:val="28"/>
        </w:rPr>
        <w:t>3</w:t>
      </w:r>
      <w:r>
        <w:rPr>
          <w:rFonts w:eastAsia="標楷體"/>
          <w:bCs/>
          <w:sz w:val="28"/>
          <w:szCs w:val="28"/>
        </w:rPr>
        <w:t>椅</w:t>
      </w:r>
      <w:r>
        <w:rPr>
          <w:rFonts w:eastAsia="標楷體"/>
          <w:bCs/>
          <w:sz w:val="28"/>
          <w:szCs w:val="28"/>
        </w:rPr>
        <w:t>(</w:t>
      </w:r>
      <w:r>
        <w:rPr>
          <w:rFonts w:eastAsia="標楷體"/>
          <w:bCs/>
          <w:sz w:val="28"/>
          <w:szCs w:val="28"/>
        </w:rPr>
        <w:t>折疊椅</w:t>
      </w:r>
      <w:r>
        <w:rPr>
          <w:rFonts w:eastAsia="標楷體"/>
          <w:bCs/>
          <w:sz w:val="28"/>
          <w:szCs w:val="28"/>
        </w:rPr>
        <w:t>)</w:t>
      </w:r>
      <w:r>
        <w:rPr>
          <w:rFonts w:eastAsia="標楷體"/>
          <w:bCs/>
          <w:sz w:val="28"/>
          <w:szCs w:val="28"/>
        </w:rPr>
        <w:t>、</w:t>
      </w:r>
      <w:r>
        <w:rPr>
          <w:rFonts w:eastAsia="標楷體"/>
          <w:bCs/>
          <w:sz w:val="28"/>
          <w:szCs w:val="28"/>
        </w:rPr>
        <w:t>1</w:t>
      </w:r>
      <w:r>
        <w:rPr>
          <w:rFonts w:eastAsia="標楷體"/>
          <w:bCs/>
          <w:sz w:val="28"/>
          <w:szCs w:val="28"/>
        </w:rPr>
        <w:t>儲物櫃</w:t>
      </w:r>
      <w:r>
        <w:rPr>
          <w:rFonts w:eastAsia="標楷體"/>
          <w:bCs/>
          <w:sz w:val="28"/>
          <w:szCs w:val="28"/>
        </w:rPr>
        <w:t>(</w:t>
      </w:r>
      <w:r>
        <w:rPr>
          <w:rFonts w:eastAsia="標楷體"/>
          <w:bCs/>
          <w:sz w:val="28"/>
          <w:szCs w:val="28"/>
        </w:rPr>
        <w:t>有拉門可儲物</w:t>
      </w:r>
      <w:r>
        <w:rPr>
          <w:rFonts w:eastAsia="標楷體"/>
          <w:bCs/>
          <w:sz w:val="28"/>
          <w:szCs w:val="28"/>
        </w:rPr>
        <w:t>)</w:t>
      </w:r>
      <w:r>
        <w:rPr>
          <w:rFonts w:eastAsia="標楷體"/>
          <w:bCs/>
          <w:sz w:val="28"/>
          <w:szCs w:val="28"/>
        </w:rPr>
        <w:t>、</w:t>
      </w:r>
      <w:r>
        <w:rPr>
          <w:rFonts w:eastAsia="標楷體"/>
          <w:bCs/>
          <w:sz w:val="28"/>
          <w:szCs w:val="28"/>
        </w:rPr>
        <w:t>3</w:t>
      </w:r>
      <w:r>
        <w:rPr>
          <w:rFonts w:eastAsia="標楷體"/>
          <w:bCs/>
          <w:sz w:val="28"/>
          <w:szCs w:val="28"/>
        </w:rPr>
        <w:t>層板、</w:t>
      </w:r>
      <w:r>
        <w:rPr>
          <w:rFonts w:eastAsia="標楷體"/>
          <w:bCs/>
          <w:sz w:val="28"/>
          <w:szCs w:val="28"/>
        </w:rPr>
        <w:t>1</w:t>
      </w:r>
      <w:r>
        <w:rPr>
          <w:rFonts w:eastAsia="標楷體"/>
          <w:bCs/>
          <w:sz w:val="28"/>
          <w:szCs w:val="28"/>
        </w:rPr>
        <w:t>插座</w:t>
      </w:r>
      <w:r>
        <w:rPr>
          <w:rFonts w:eastAsia="標楷體"/>
          <w:bCs/>
          <w:sz w:val="28"/>
          <w:szCs w:val="28"/>
        </w:rPr>
        <w:t>(</w:t>
      </w:r>
      <w:r>
        <w:rPr>
          <w:rFonts w:eastAsia="標楷體"/>
          <w:bCs/>
          <w:sz w:val="28"/>
          <w:szCs w:val="28"/>
        </w:rPr>
        <w:t>含電</w:t>
      </w:r>
      <w:r>
        <w:rPr>
          <w:rFonts w:eastAsia="標楷體"/>
          <w:bCs/>
          <w:sz w:val="28"/>
          <w:szCs w:val="28"/>
        </w:rPr>
        <w:t>110V)</w:t>
      </w:r>
      <w:r>
        <w:rPr>
          <w:rFonts w:eastAsia="標楷體"/>
          <w:bCs/>
          <w:sz w:val="28"/>
          <w:szCs w:val="28"/>
        </w:rPr>
        <w:t>、</w:t>
      </w:r>
      <w:r>
        <w:rPr>
          <w:rFonts w:eastAsia="標楷體"/>
          <w:bCs/>
          <w:sz w:val="28"/>
          <w:szCs w:val="28"/>
        </w:rPr>
        <w:t>3</w:t>
      </w:r>
      <w:r>
        <w:rPr>
          <w:rFonts w:eastAsia="標楷體"/>
          <w:bCs/>
          <w:sz w:val="28"/>
          <w:szCs w:val="28"/>
        </w:rPr>
        <w:t>投射燈、</w:t>
      </w:r>
      <w:r>
        <w:rPr>
          <w:rFonts w:eastAsia="標楷體"/>
          <w:bCs/>
          <w:sz w:val="28"/>
          <w:szCs w:val="28"/>
        </w:rPr>
        <w:t>1</w:t>
      </w:r>
      <w:r>
        <w:rPr>
          <w:rFonts w:eastAsia="標楷體"/>
          <w:bCs/>
          <w:sz w:val="28"/>
          <w:szCs w:val="28"/>
        </w:rPr>
        <w:t>海報</w:t>
      </w:r>
      <w:r>
        <w:rPr>
          <w:rFonts w:eastAsia="標楷體"/>
          <w:bCs/>
          <w:sz w:val="28"/>
          <w:szCs w:val="28"/>
        </w:rPr>
        <w:t xml:space="preserve"> (</w:t>
      </w:r>
      <w:r>
        <w:rPr>
          <w:rFonts w:eastAsia="標楷體"/>
          <w:bCs/>
          <w:sz w:val="28"/>
          <w:szCs w:val="28"/>
        </w:rPr>
        <w:t>＊</w:t>
      </w:r>
      <w:r>
        <w:rPr>
          <w:rFonts w:eastAsia="標楷體"/>
          <w:bCs/>
          <w:sz w:val="28"/>
          <w:szCs w:val="28"/>
        </w:rPr>
        <w:t>4</w:t>
      </w:r>
      <w:r>
        <w:rPr>
          <w:rFonts w:eastAsia="標楷體"/>
          <w:bCs/>
          <w:sz w:val="28"/>
          <w:szCs w:val="28"/>
        </w:rPr>
        <w:t>月底前，會依各攤需求提供各項設備租賃表，供各家廠商選擇租用設備</w:t>
      </w:r>
      <w:r>
        <w:rPr>
          <w:rFonts w:eastAsia="標楷體"/>
          <w:bCs/>
          <w:sz w:val="28"/>
          <w:szCs w:val="28"/>
        </w:rPr>
        <w:t>)</w:t>
      </w:r>
      <w:r>
        <w:rPr>
          <w:rFonts w:eastAsia="標楷體"/>
          <w:bCs/>
          <w:sz w:val="28"/>
          <w:szCs w:val="28"/>
        </w:rPr>
        <w:t>。</w:t>
      </w:r>
    </w:p>
    <w:p w:rsidR="00385749" w:rsidRDefault="00455789">
      <w:pPr>
        <w:numPr>
          <w:ilvl w:val="0"/>
          <w:numId w:val="2"/>
        </w:numPr>
        <w:snapToGrid w:val="0"/>
        <w:spacing w:line="440" w:lineRule="atLeast"/>
        <w:jc w:val="both"/>
        <w:rPr>
          <w:rFonts w:ascii="標楷體" w:eastAsia="標楷體" w:hAnsi="標楷體"/>
          <w:bCs/>
          <w:sz w:val="28"/>
          <w:szCs w:val="28"/>
        </w:rPr>
      </w:pPr>
      <w:r>
        <w:rPr>
          <w:rFonts w:ascii="標楷體" w:eastAsia="標楷體" w:hAnsi="標楷體"/>
          <w:bCs/>
          <w:sz w:val="28"/>
          <w:szCs w:val="28"/>
        </w:rPr>
        <w:t>參展空間供參展商辦理各項產品推廣活動，含靜態展示、動態活動與產品試吃等活動(依大會規定)。</w:t>
      </w:r>
    </w:p>
    <w:p w:rsidR="00385749" w:rsidRDefault="00455789">
      <w:pPr>
        <w:numPr>
          <w:ilvl w:val="0"/>
          <w:numId w:val="2"/>
        </w:numPr>
        <w:snapToGrid w:val="0"/>
        <w:spacing w:line="440" w:lineRule="atLeast"/>
        <w:jc w:val="both"/>
      </w:pPr>
      <w:r>
        <w:rPr>
          <w:rFonts w:ascii="標楷體" w:eastAsia="標楷體" w:hAnsi="標楷體"/>
          <w:bCs/>
          <w:sz w:val="28"/>
          <w:szCs w:val="28"/>
        </w:rPr>
        <w:t>入選參展廠商須另繳交攤位租金配合款</w:t>
      </w:r>
      <w:r>
        <w:rPr>
          <w:rFonts w:ascii="標楷體" w:eastAsia="標楷體" w:hAnsi="標楷體"/>
          <w:b/>
          <w:bCs/>
          <w:sz w:val="28"/>
          <w:szCs w:val="28"/>
        </w:rPr>
        <w:t>(預估配合款新臺幣27,000元，正確金額以農委會通知為準)</w:t>
      </w:r>
      <w:r>
        <w:rPr>
          <w:rFonts w:ascii="標楷體" w:eastAsia="標楷體" w:hAnsi="標楷體"/>
          <w:bCs/>
          <w:sz w:val="28"/>
          <w:szCs w:val="28"/>
        </w:rPr>
        <w:t>，倘後續追加設備者，需另繳交追加設備費。</w:t>
      </w:r>
    </w:p>
    <w:p w:rsidR="00385749" w:rsidRDefault="00455789">
      <w:pPr>
        <w:numPr>
          <w:ilvl w:val="0"/>
          <w:numId w:val="1"/>
        </w:numPr>
        <w:snapToGrid w:val="0"/>
        <w:spacing w:line="440" w:lineRule="atLeast"/>
        <w:rPr>
          <w:rFonts w:ascii="標楷體" w:eastAsia="標楷體" w:hAnsi="標楷體"/>
          <w:bCs/>
          <w:sz w:val="28"/>
          <w:szCs w:val="28"/>
        </w:rPr>
      </w:pPr>
      <w:r>
        <w:rPr>
          <w:rFonts w:ascii="標楷體" w:eastAsia="標楷體" w:hAnsi="標楷體"/>
          <w:bCs/>
          <w:sz w:val="28"/>
          <w:szCs w:val="28"/>
        </w:rPr>
        <w:t>廠商應具資格、報名資料及文件：</w:t>
      </w:r>
    </w:p>
    <w:p w:rsidR="00385749" w:rsidRDefault="00455789">
      <w:pPr>
        <w:numPr>
          <w:ilvl w:val="0"/>
          <w:numId w:val="3"/>
        </w:numPr>
        <w:snapToGrid w:val="0"/>
        <w:spacing w:line="440" w:lineRule="atLeast"/>
        <w:jc w:val="both"/>
      </w:pPr>
      <w:r>
        <w:rPr>
          <w:rFonts w:ascii="標楷體" w:eastAsia="標楷體" w:hAnsi="標楷體"/>
          <w:bCs/>
          <w:sz w:val="28"/>
          <w:szCs w:val="28"/>
        </w:rPr>
        <w:t>有意參展廠商請填具「報名表」（如附件一）、「產品資料表」（如附件二）、「食品安全衛生切結書」(附件三)及檢具相</w:t>
      </w:r>
      <w:r>
        <w:rPr>
          <w:rFonts w:ascii="標楷體" w:eastAsia="標楷體" w:hAnsi="標楷體"/>
          <w:bCs/>
          <w:sz w:val="28"/>
          <w:szCs w:val="28"/>
        </w:rPr>
        <w:lastRenderedPageBreak/>
        <w:t>關證明文件報名</w:t>
      </w:r>
      <w:r>
        <w:rPr>
          <w:rFonts w:eastAsia="標楷體"/>
          <w:b/>
        </w:rPr>
        <w:t>書</w:t>
      </w:r>
      <w:r>
        <w:rPr>
          <w:rFonts w:ascii="標楷體" w:eastAsia="標楷體" w:hAnsi="標楷體"/>
          <w:bCs/>
          <w:sz w:val="28"/>
          <w:szCs w:val="28"/>
        </w:rPr>
        <w:t>，亦請務必提供電子檔，俾便進行彙整作業；該等表格之電子檔，請逕於本署官方網站www.fa.gov.tw或財團法人台灣養殖漁業發展基金會官方網站http://www.aquadf.org.tw/tadf下載。</w:t>
      </w:r>
    </w:p>
    <w:p w:rsidR="00385749" w:rsidRDefault="00455789">
      <w:pPr>
        <w:numPr>
          <w:ilvl w:val="0"/>
          <w:numId w:val="3"/>
        </w:numPr>
        <w:snapToGrid w:val="0"/>
        <w:spacing w:line="440" w:lineRule="atLeast"/>
        <w:jc w:val="both"/>
        <w:rPr>
          <w:rFonts w:ascii="標楷體" w:eastAsia="標楷體" w:hAnsi="標楷體"/>
          <w:bCs/>
          <w:sz w:val="28"/>
          <w:szCs w:val="28"/>
        </w:rPr>
      </w:pPr>
      <w:r>
        <w:rPr>
          <w:rFonts w:ascii="標楷體" w:eastAsia="標楷體" w:hAnsi="標楷體"/>
          <w:bCs/>
          <w:sz w:val="28"/>
          <w:szCs w:val="28"/>
        </w:rPr>
        <w:t>有意參展廠商之參展產品具備Halal（清真）、GGAP(全球優良農業規範)驗證產品者，請於報名時一併提供驗證證書影本。</w:t>
      </w:r>
    </w:p>
    <w:p w:rsidR="00385749" w:rsidRDefault="00455789">
      <w:pPr>
        <w:numPr>
          <w:ilvl w:val="0"/>
          <w:numId w:val="3"/>
        </w:numPr>
        <w:snapToGrid w:val="0"/>
        <w:spacing w:line="440" w:lineRule="atLeast"/>
        <w:jc w:val="both"/>
        <w:rPr>
          <w:rFonts w:ascii="標楷體" w:eastAsia="標楷體" w:hAnsi="標楷體"/>
          <w:bCs/>
          <w:sz w:val="28"/>
          <w:szCs w:val="28"/>
        </w:rPr>
      </w:pPr>
      <w:r>
        <w:rPr>
          <w:rFonts w:ascii="標楷體" w:eastAsia="標楷體" w:hAnsi="標楷體"/>
          <w:bCs/>
          <w:sz w:val="28"/>
          <w:szCs w:val="28"/>
        </w:rPr>
        <w:t>因攤位有限，每家廠商限申請一攤位，且於本次食品展中已確認申請參展攤位者將不得列入參展對象。</w:t>
      </w:r>
    </w:p>
    <w:p w:rsidR="00385749" w:rsidRDefault="00455789">
      <w:pPr>
        <w:numPr>
          <w:ilvl w:val="0"/>
          <w:numId w:val="3"/>
        </w:numPr>
        <w:snapToGrid w:val="0"/>
        <w:spacing w:line="440" w:lineRule="atLeast"/>
        <w:jc w:val="both"/>
        <w:rPr>
          <w:rFonts w:ascii="標楷體" w:eastAsia="標楷體" w:hAnsi="標楷體"/>
          <w:bCs/>
          <w:sz w:val="28"/>
          <w:szCs w:val="28"/>
        </w:rPr>
      </w:pPr>
      <w:r>
        <w:rPr>
          <w:rFonts w:ascii="標楷體" w:eastAsia="標楷體" w:hAnsi="標楷體"/>
          <w:bCs/>
          <w:sz w:val="28"/>
          <w:szCs w:val="28"/>
        </w:rPr>
        <w:t>本活動攤位有限，報名截止後，本署保留篩選參展單位之權利(將依產品品項、產品特色、驗證項目及具外銷能力評估)，若經錄取，將另通知參展業者，並依規定繳納正式報名文件相關資料。</w:t>
      </w:r>
    </w:p>
    <w:p w:rsidR="00385749" w:rsidRDefault="00455789">
      <w:pPr>
        <w:numPr>
          <w:ilvl w:val="0"/>
          <w:numId w:val="1"/>
        </w:numPr>
        <w:snapToGrid w:val="0"/>
        <w:spacing w:line="440" w:lineRule="atLeast"/>
        <w:rPr>
          <w:rFonts w:ascii="標楷體" w:eastAsia="標楷體" w:hAnsi="標楷體"/>
          <w:bCs/>
          <w:sz w:val="28"/>
          <w:szCs w:val="28"/>
        </w:rPr>
      </w:pPr>
      <w:r>
        <w:rPr>
          <w:rFonts w:ascii="標楷體" w:eastAsia="標楷體" w:hAnsi="標楷體"/>
          <w:bCs/>
          <w:sz w:val="28"/>
          <w:szCs w:val="28"/>
        </w:rPr>
        <w:t>報名及聯絡方式：</w:t>
      </w:r>
    </w:p>
    <w:p w:rsidR="00385749" w:rsidRDefault="00455789">
      <w:pPr>
        <w:numPr>
          <w:ilvl w:val="0"/>
          <w:numId w:val="4"/>
        </w:numPr>
        <w:snapToGrid w:val="0"/>
        <w:spacing w:line="440" w:lineRule="atLeast"/>
        <w:jc w:val="both"/>
      </w:pPr>
      <w:r>
        <w:rPr>
          <w:rFonts w:ascii="標楷體" w:eastAsia="標楷體" w:hAnsi="標楷體"/>
          <w:bCs/>
          <w:sz w:val="28"/>
          <w:szCs w:val="28"/>
        </w:rPr>
        <w:t>有意參展者請填具「報名表」、「產品資料表」及檢具相關證明文件後，於</w:t>
      </w:r>
      <w:r>
        <w:rPr>
          <w:rFonts w:ascii="標楷體" w:eastAsia="標楷體" w:hAnsi="標楷體"/>
          <w:bCs/>
          <w:sz w:val="28"/>
          <w:szCs w:val="28"/>
          <w:u w:val="single"/>
        </w:rPr>
        <w:t>111年3月23日（星期三）下午5時止</w:t>
      </w:r>
      <w:r>
        <w:rPr>
          <w:rFonts w:ascii="標楷體" w:eastAsia="標楷體" w:hAnsi="標楷體"/>
          <w:bCs/>
          <w:sz w:val="28"/>
          <w:szCs w:val="28"/>
        </w:rPr>
        <w:t>(以電子郵件/郵戳日期為憑)，逾期恕不受理。正本郵寄至財團法人台灣養殖漁業發展基金會，信封註明報名2022臺北國際食品展臺灣館；並請將前開報名文件掃描後，連同相關報名表格電子檔，寄至yuwen@aquadf.org.tw，主旨請寫 「○○公司-報名2022臺北國際食品展」，經來電確認後，方完成報名程序。</w:t>
      </w:r>
    </w:p>
    <w:p w:rsidR="00385749" w:rsidRDefault="00455789">
      <w:pPr>
        <w:numPr>
          <w:ilvl w:val="0"/>
          <w:numId w:val="4"/>
        </w:numPr>
        <w:snapToGrid w:val="0"/>
        <w:spacing w:line="440" w:lineRule="atLeast"/>
        <w:jc w:val="both"/>
        <w:rPr>
          <w:rFonts w:ascii="標楷體" w:eastAsia="標楷體" w:hAnsi="標楷體"/>
          <w:bCs/>
          <w:sz w:val="28"/>
          <w:szCs w:val="28"/>
        </w:rPr>
      </w:pPr>
      <w:r>
        <w:rPr>
          <w:rFonts w:ascii="標楷體" w:eastAsia="標楷體" w:hAnsi="標楷體"/>
          <w:bCs/>
          <w:sz w:val="28"/>
          <w:szCs w:val="28"/>
        </w:rPr>
        <w:t>本案聯絡人：</w:t>
      </w:r>
    </w:p>
    <w:p w:rsidR="00385749" w:rsidRDefault="00455789">
      <w:pPr>
        <w:snapToGrid w:val="0"/>
        <w:spacing w:line="440" w:lineRule="atLeast"/>
        <w:ind w:left="1277"/>
        <w:jc w:val="both"/>
        <w:rPr>
          <w:rFonts w:ascii="標楷體" w:eastAsia="標楷體" w:hAnsi="標楷體"/>
          <w:bCs/>
          <w:sz w:val="28"/>
          <w:szCs w:val="28"/>
        </w:rPr>
      </w:pPr>
      <w:r>
        <w:rPr>
          <w:rFonts w:ascii="標楷體" w:eastAsia="標楷體" w:hAnsi="標楷體"/>
          <w:bCs/>
          <w:sz w:val="28"/>
          <w:szCs w:val="28"/>
        </w:rPr>
        <w:t>阮郁雯小姐、黃鼎詒先生：</w:t>
      </w:r>
    </w:p>
    <w:p w:rsidR="00385749" w:rsidRDefault="00455789">
      <w:pPr>
        <w:numPr>
          <w:ilvl w:val="3"/>
          <w:numId w:val="4"/>
        </w:numPr>
        <w:snapToGrid w:val="0"/>
        <w:spacing w:line="440" w:lineRule="atLeast"/>
        <w:ind w:left="1652" w:hanging="336"/>
        <w:jc w:val="both"/>
        <w:rPr>
          <w:rFonts w:ascii="標楷體" w:eastAsia="標楷體" w:hAnsi="標楷體"/>
          <w:bCs/>
          <w:sz w:val="28"/>
          <w:szCs w:val="28"/>
        </w:rPr>
      </w:pPr>
      <w:r>
        <w:rPr>
          <w:rFonts w:ascii="標楷體" w:eastAsia="標楷體" w:hAnsi="標楷體"/>
          <w:bCs/>
          <w:sz w:val="28"/>
          <w:szCs w:val="28"/>
        </w:rPr>
        <w:t>電話：(02)3393-8008分機28、25。</w:t>
      </w:r>
    </w:p>
    <w:p w:rsidR="00385749" w:rsidRDefault="00455789">
      <w:pPr>
        <w:numPr>
          <w:ilvl w:val="3"/>
          <w:numId w:val="4"/>
        </w:numPr>
        <w:snapToGrid w:val="0"/>
        <w:spacing w:line="440" w:lineRule="atLeast"/>
        <w:ind w:left="1652" w:hanging="336"/>
        <w:jc w:val="both"/>
        <w:rPr>
          <w:rFonts w:ascii="標楷體" w:eastAsia="標楷體" w:hAnsi="標楷體"/>
          <w:bCs/>
          <w:sz w:val="28"/>
          <w:szCs w:val="28"/>
        </w:rPr>
      </w:pPr>
      <w:r>
        <w:rPr>
          <w:rFonts w:ascii="標楷體" w:eastAsia="標楷體" w:hAnsi="標楷體"/>
          <w:bCs/>
          <w:sz w:val="28"/>
          <w:szCs w:val="28"/>
        </w:rPr>
        <w:t>傳真：(02)3393-8018。</w:t>
      </w:r>
    </w:p>
    <w:p w:rsidR="00385749" w:rsidRDefault="00455789">
      <w:pPr>
        <w:numPr>
          <w:ilvl w:val="3"/>
          <w:numId w:val="4"/>
        </w:numPr>
        <w:snapToGrid w:val="0"/>
        <w:spacing w:line="440" w:lineRule="atLeast"/>
        <w:ind w:left="1652" w:hanging="336"/>
        <w:jc w:val="both"/>
        <w:rPr>
          <w:rFonts w:ascii="標楷體" w:eastAsia="標楷體" w:hAnsi="標楷體"/>
          <w:bCs/>
          <w:sz w:val="28"/>
          <w:szCs w:val="28"/>
        </w:rPr>
      </w:pPr>
      <w:r>
        <w:rPr>
          <w:rFonts w:ascii="標楷體" w:eastAsia="標楷體" w:hAnsi="標楷體"/>
          <w:bCs/>
          <w:sz w:val="28"/>
          <w:szCs w:val="28"/>
        </w:rPr>
        <w:t>電子郵件：yuwen@aquadf.org.tw。</w:t>
      </w:r>
    </w:p>
    <w:p w:rsidR="00385749" w:rsidRDefault="00455789">
      <w:pPr>
        <w:numPr>
          <w:ilvl w:val="3"/>
          <w:numId w:val="4"/>
        </w:numPr>
        <w:snapToGrid w:val="0"/>
        <w:spacing w:line="440" w:lineRule="atLeast"/>
        <w:ind w:left="1652" w:hanging="336"/>
        <w:jc w:val="both"/>
        <w:rPr>
          <w:rFonts w:ascii="標楷體" w:eastAsia="標楷體" w:hAnsi="標楷體"/>
          <w:bCs/>
          <w:sz w:val="28"/>
          <w:szCs w:val="28"/>
        </w:rPr>
      </w:pPr>
      <w:r>
        <w:rPr>
          <w:rFonts w:ascii="標楷體" w:eastAsia="標楷體" w:hAnsi="標楷體"/>
          <w:bCs/>
          <w:sz w:val="28"/>
          <w:szCs w:val="28"/>
        </w:rPr>
        <w:t>地址：10065臺北市中正區延平南路189號3樓之5。</w:t>
      </w:r>
    </w:p>
    <w:p w:rsidR="00385749" w:rsidRDefault="00455789">
      <w:pPr>
        <w:numPr>
          <w:ilvl w:val="0"/>
          <w:numId w:val="1"/>
        </w:numPr>
        <w:snapToGrid w:val="0"/>
        <w:spacing w:line="440" w:lineRule="atLeast"/>
        <w:rPr>
          <w:rFonts w:ascii="標楷體" w:eastAsia="標楷體" w:hAnsi="標楷體"/>
          <w:bCs/>
          <w:sz w:val="28"/>
          <w:szCs w:val="28"/>
        </w:rPr>
      </w:pPr>
      <w:r>
        <w:rPr>
          <w:rFonts w:ascii="標楷體" w:eastAsia="標楷體" w:hAnsi="標楷體"/>
          <w:bCs/>
          <w:sz w:val="28"/>
          <w:szCs w:val="28"/>
        </w:rPr>
        <w:t>其他注意事項：</w:t>
      </w:r>
    </w:p>
    <w:p w:rsidR="00385749" w:rsidRDefault="00455789">
      <w:pPr>
        <w:numPr>
          <w:ilvl w:val="0"/>
          <w:numId w:val="5"/>
        </w:numPr>
        <w:snapToGrid w:val="0"/>
        <w:spacing w:line="440" w:lineRule="atLeast"/>
        <w:jc w:val="both"/>
      </w:pPr>
      <w:r>
        <w:rPr>
          <w:rFonts w:ascii="標楷體" w:eastAsia="標楷體" w:hAnsi="標楷體"/>
          <w:bCs/>
          <w:sz w:val="28"/>
          <w:szCs w:val="28"/>
        </w:rPr>
        <w:t>農委會於食品展設置臺灣館之主要目的係為推動我國農產品外銷，爰</w:t>
      </w:r>
      <w:r>
        <w:rPr>
          <w:rFonts w:ascii="標楷體" w:eastAsia="標楷體" w:hAnsi="標楷體"/>
          <w:bCs/>
          <w:sz w:val="28"/>
          <w:szCs w:val="28"/>
          <w:u w:val="single"/>
        </w:rPr>
        <w:t>參展品項應以國產水產品為主</w:t>
      </w:r>
      <w:r>
        <w:rPr>
          <w:rFonts w:ascii="標楷體" w:eastAsia="標楷體" w:hAnsi="標楷體"/>
          <w:bCs/>
          <w:sz w:val="28"/>
          <w:szCs w:val="28"/>
        </w:rPr>
        <w:t>。同一公司行號於</w:t>
      </w:r>
      <w:r>
        <w:rPr>
          <w:rFonts w:ascii="標楷體" w:eastAsia="標楷體" w:hAnsi="標楷體"/>
          <w:bCs/>
          <w:sz w:val="28"/>
          <w:szCs w:val="28"/>
        </w:rPr>
        <w:lastRenderedPageBreak/>
        <w:t>2022年臺北國際食品展「臺灣館」展區中只允取得設置1個攤位資格，「臺灣館」中不得重複報名參展。</w:t>
      </w:r>
    </w:p>
    <w:p w:rsidR="00385749" w:rsidRDefault="00455789">
      <w:pPr>
        <w:numPr>
          <w:ilvl w:val="0"/>
          <w:numId w:val="5"/>
        </w:numPr>
        <w:snapToGrid w:val="0"/>
        <w:spacing w:line="440" w:lineRule="atLeast"/>
        <w:jc w:val="both"/>
        <w:rPr>
          <w:rFonts w:ascii="標楷體" w:eastAsia="標楷體" w:hAnsi="標楷體"/>
          <w:bCs/>
          <w:sz w:val="28"/>
          <w:szCs w:val="28"/>
        </w:rPr>
      </w:pPr>
      <w:r>
        <w:rPr>
          <w:rFonts w:ascii="標楷體" w:eastAsia="標楷體" w:hAnsi="標楷體"/>
          <w:bCs/>
          <w:sz w:val="28"/>
          <w:szCs w:val="28"/>
        </w:rPr>
        <w:t>申請資料請詳實填寫，不得遺漏，因本次食品展係為國際性之展覽，請務必提供英文資料；倘報名資料有遺漏，且未能於時限內補正者，將喪失報名資格。</w:t>
      </w:r>
    </w:p>
    <w:p w:rsidR="00385749" w:rsidRDefault="00455789">
      <w:pPr>
        <w:numPr>
          <w:ilvl w:val="0"/>
          <w:numId w:val="5"/>
        </w:numPr>
        <w:snapToGrid w:val="0"/>
        <w:spacing w:line="440" w:lineRule="atLeast"/>
        <w:jc w:val="both"/>
        <w:rPr>
          <w:rFonts w:ascii="標楷體" w:eastAsia="標楷體" w:hAnsi="標楷體"/>
          <w:bCs/>
          <w:sz w:val="28"/>
          <w:szCs w:val="28"/>
        </w:rPr>
      </w:pPr>
      <w:r>
        <w:rPr>
          <w:rFonts w:ascii="標楷體" w:eastAsia="標楷體" w:hAnsi="標楷體"/>
          <w:bCs/>
          <w:sz w:val="28"/>
          <w:szCs w:val="28"/>
        </w:rPr>
        <w:t>有關租金、裝潢與基本設備擬依農委會及本署計畫相關經費支應，業者依規定負擔部分費用及追加設備費。</w:t>
      </w:r>
    </w:p>
    <w:p w:rsidR="00385749" w:rsidRDefault="00455789">
      <w:pPr>
        <w:numPr>
          <w:ilvl w:val="0"/>
          <w:numId w:val="5"/>
        </w:numPr>
        <w:snapToGrid w:val="0"/>
        <w:spacing w:line="440" w:lineRule="atLeast"/>
        <w:jc w:val="both"/>
        <w:rPr>
          <w:rFonts w:ascii="標楷體" w:eastAsia="標楷體" w:hAnsi="標楷體"/>
          <w:bCs/>
          <w:sz w:val="28"/>
          <w:szCs w:val="28"/>
        </w:rPr>
      </w:pPr>
      <w:r>
        <w:rPr>
          <w:rFonts w:ascii="標楷體" w:eastAsia="標楷體" w:hAnsi="標楷體"/>
          <w:bCs/>
          <w:sz w:val="28"/>
          <w:szCs w:val="28"/>
        </w:rPr>
        <w:t>本區整體面積裝潢由農委會徵選之得標公司統籌，各廠商面積之佈置裝潢則由參展廠商自行處理。</w:t>
      </w:r>
    </w:p>
    <w:p w:rsidR="00385749" w:rsidRDefault="00455789">
      <w:pPr>
        <w:numPr>
          <w:ilvl w:val="0"/>
          <w:numId w:val="5"/>
        </w:numPr>
        <w:snapToGrid w:val="0"/>
        <w:spacing w:line="440" w:lineRule="atLeast"/>
        <w:jc w:val="both"/>
        <w:rPr>
          <w:rFonts w:ascii="標楷體" w:eastAsia="標楷體" w:hAnsi="標楷體"/>
          <w:bCs/>
          <w:sz w:val="28"/>
          <w:szCs w:val="28"/>
        </w:rPr>
      </w:pPr>
      <w:r>
        <w:rPr>
          <w:rFonts w:ascii="標楷體" w:eastAsia="標楷體" w:hAnsi="標楷體"/>
          <w:bCs/>
          <w:sz w:val="28"/>
          <w:szCs w:val="28"/>
        </w:rPr>
        <w:t>參展廠商需自行提供人力及相關展出所需產品。</w:t>
      </w:r>
    </w:p>
    <w:p w:rsidR="00385749" w:rsidRDefault="00455789">
      <w:pPr>
        <w:numPr>
          <w:ilvl w:val="0"/>
          <w:numId w:val="5"/>
        </w:numPr>
        <w:snapToGrid w:val="0"/>
        <w:spacing w:line="440" w:lineRule="atLeast"/>
        <w:jc w:val="both"/>
        <w:rPr>
          <w:rFonts w:ascii="標楷體" w:eastAsia="標楷體" w:hAnsi="標楷體"/>
          <w:bCs/>
          <w:sz w:val="28"/>
          <w:szCs w:val="28"/>
        </w:rPr>
      </w:pPr>
      <w:r>
        <w:rPr>
          <w:rFonts w:ascii="標楷體" w:eastAsia="標楷體" w:hAnsi="標楷體"/>
          <w:bCs/>
          <w:sz w:val="28"/>
          <w:szCs w:val="28"/>
        </w:rPr>
        <w:t>可展售品：可食用之水產品及其相關產品(如調理食品、罐頭食品、飲品等)，依第32屆台北國際食品展覽會參展實施規範之展出項目為準。</w:t>
      </w:r>
    </w:p>
    <w:p w:rsidR="00385749" w:rsidRDefault="00455789">
      <w:pPr>
        <w:numPr>
          <w:ilvl w:val="0"/>
          <w:numId w:val="5"/>
        </w:numPr>
        <w:snapToGrid w:val="0"/>
        <w:spacing w:line="440" w:lineRule="atLeast"/>
        <w:jc w:val="both"/>
        <w:rPr>
          <w:rFonts w:ascii="標楷體" w:eastAsia="標楷體" w:hAnsi="標楷體"/>
          <w:bCs/>
          <w:sz w:val="28"/>
          <w:szCs w:val="28"/>
        </w:rPr>
      </w:pPr>
      <w:r>
        <w:rPr>
          <w:rFonts w:ascii="標楷體" w:eastAsia="標楷體" w:hAnsi="標楷體"/>
          <w:bCs/>
          <w:sz w:val="28"/>
          <w:szCs w:val="28"/>
        </w:rPr>
        <w:t>參展廠商倘未能配合主辦單位於時限內提供及確認相關資料，影響策展進度，以及於展覽期間未能配合主辦單位之相關規定者，將取消下年度之參展資格。</w:t>
      </w:r>
    </w:p>
    <w:p w:rsidR="00385749" w:rsidRDefault="00455789">
      <w:pPr>
        <w:numPr>
          <w:ilvl w:val="0"/>
          <w:numId w:val="5"/>
        </w:numPr>
        <w:snapToGrid w:val="0"/>
        <w:spacing w:line="440" w:lineRule="atLeast"/>
        <w:jc w:val="both"/>
        <w:rPr>
          <w:rFonts w:ascii="標楷體" w:eastAsia="標楷體" w:hAnsi="標楷體"/>
          <w:bCs/>
          <w:sz w:val="28"/>
          <w:szCs w:val="28"/>
        </w:rPr>
      </w:pPr>
      <w:r>
        <w:rPr>
          <w:rFonts w:ascii="標楷體" w:eastAsia="標楷體" w:hAnsi="標楷體"/>
          <w:bCs/>
          <w:sz w:val="28"/>
          <w:szCs w:val="28"/>
        </w:rPr>
        <w:t>農委會預定辦理展前訓練，課程包含廠商展前應注意事項、參展、布置陳列教學等，入選參展廠商須派員全程參與。</w:t>
      </w:r>
      <w:bookmarkStart w:id="0" w:name="_GoBack"/>
      <w:bookmarkEnd w:id="0"/>
    </w:p>
    <w:sectPr w:rsidR="00385749">
      <w:footerReference w:type="default" r:id="rId7"/>
      <w:pgSz w:w="11906" w:h="16838"/>
      <w:pgMar w:top="1440" w:right="1797" w:bottom="1440" w:left="1797" w:header="851" w:footer="414" w:gutter="0"/>
      <w:cols w:space="720"/>
      <w:docGrid w:type="lines" w:linePitch="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36D" w:rsidRDefault="00CA136D">
      <w:r>
        <w:separator/>
      </w:r>
    </w:p>
  </w:endnote>
  <w:endnote w:type="continuationSeparator" w:id="0">
    <w:p w:rsidR="00CA136D" w:rsidRDefault="00CA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өũ">
    <w:charset w:val="00"/>
    <w:family w:val="roman"/>
    <w:pitch w:val="default"/>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789" w:rsidRDefault="00455789">
    <w:pPr>
      <w:pStyle w:val="a4"/>
      <w:jc w:val="center"/>
    </w:pPr>
    <w:r>
      <w:rPr>
        <w:rStyle w:val="a6"/>
      </w:rPr>
      <w:t>第</w:t>
    </w:r>
    <w:r>
      <w:rPr>
        <w:rStyle w:val="a6"/>
      </w:rPr>
      <w:fldChar w:fldCharType="begin"/>
    </w:r>
    <w:r>
      <w:rPr>
        <w:rStyle w:val="a6"/>
      </w:rPr>
      <w:instrText xml:space="preserve"> PAGE </w:instrText>
    </w:r>
    <w:r>
      <w:rPr>
        <w:rStyle w:val="a6"/>
      </w:rPr>
      <w:fldChar w:fldCharType="separate"/>
    </w:r>
    <w:r w:rsidR="00F72A6C">
      <w:rPr>
        <w:rStyle w:val="a6"/>
        <w:noProof/>
      </w:rPr>
      <w:t>3</w:t>
    </w:r>
    <w:r>
      <w:rPr>
        <w:rStyle w:val="a6"/>
      </w:rPr>
      <w:fldChar w:fldCharType="end"/>
    </w:r>
    <w:r>
      <w:rPr>
        <w:rStyle w:val="a6"/>
      </w:rPr>
      <w:t>頁，共</w:t>
    </w:r>
    <w:r>
      <w:rPr>
        <w:rStyle w:val="a6"/>
      </w:rPr>
      <w:fldChar w:fldCharType="begin"/>
    </w:r>
    <w:r>
      <w:rPr>
        <w:rStyle w:val="a6"/>
      </w:rPr>
      <w:instrText xml:space="preserve"> NUMPAGES </w:instrText>
    </w:r>
    <w:r>
      <w:rPr>
        <w:rStyle w:val="a6"/>
      </w:rPr>
      <w:fldChar w:fldCharType="separate"/>
    </w:r>
    <w:r w:rsidR="00F72A6C">
      <w:rPr>
        <w:rStyle w:val="a6"/>
        <w:noProof/>
      </w:rPr>
      <w:t>3</w:t>
    </w:r>
    <w:r>
      <w:rPr>
        <w:rStyle w:val="a6"/>
      </w:rPr>
      <w:fldChar w:fldCharType="end"/>
    </w:r>
    <w:r>
      <w:rPr>
        <w:rStyle w:val="a6"/>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36D" w:rsidRDefault="00CA136D">
      <w:r>
        <w:rPr>
          <w:color w:val="000000"/>
        </w:rPr>
        <w:separator/>
      </w:r>
    </w:p>
  </w:footnote>
  <w:footnote w:type="continuationSeparator" w:id="0">
    <w:p w:rsidR="00CA136D" w:rsidRDefault="00CA1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C20C1"/>
    <w:multiLevelType w:val="multilevel"/>
    <w:tmpl w:val="6CA21214"/>
    <w:lvl w:ilvl="0">
      <w:start w:val="1"/>
      <w:numFmt w:val="taiwaneseCountingThousand"/>
      <w:lvlText w:val="(%1)"/>
      <w:lvlJc w:val="left"/>
      <w:pPr>
        <w:ind w:left="1277" w:hanging="720"/>
      </w:pPr>
    </w:lvl>
    <w:lvl w:ilvl="1">
      <w:start w:val="1"/>
      <w:numFmt w:val="ideographTraditional"/>
      <w:lvlText w:val="%2、"/>
      <w:lvlJc w:val="left"/>
      <w:pPr>
        <w:ind w:left="1517" w:hanging="480"/>
      </w:pPr>
    </w:lvl>
    <w:lvl w:ilvl="2">
      <w:start w:val="1"/>
      <w:numFmt w:val="lowerRoman"/>
      <w:lvlText w:val="%3."/>
      <w:lvlJc w:val="right"/>
      <w:pPr>
        <w:ind w:left="1997" w:hanging="480"/>
      </w:pPr>
    </w:lvl>
    <w:lvl w:ilvl="3">
      <w:start w:val="1"/>
      <w:numFmt w:val="decimal"/>
      <w:lvlText w:val="%4."/>
      <w:lvlJc w:val="left"/>
      <w:pPr>
        <w:ind w:left="2477" w:hanging="480"/>
      </w:pPr>
    </w:lvl>
    <w:lvl w:ilvl="4">
      <w:start w:val="1"/>
      <w:numFmt w:val="ideographTraditional"/>
      <w:lvlText w:val="%5、"/>
      <w:lvlJc w:val="left"/>
      <w:pPr>
        <w:ind w:left="2957" w:hanging="480"/>
      </w:pPr>
    </w:lvl>
    <w:lvl w:ilvl="5">
      <w:start w:val="1"/>
      <w:numFmt w:val="lowerRoman"/>
      <w:lvlText w:val="%6."/>
      <w:lvlJc w:val="right"/>
      <w:pPr>
        <w:ind w:left="3437" w:hanging="480"/>
      </w:pPr>
    </w:lvl>
    <w:lvl w:ilvl="6">
      <w:start w:val="1"/>
      <w:numFmt w:val="decimal"/>
      <w:lvlText w:val="%7."/>
      <w:lvlJc w:val="left"/>
      <w:pPr>
        <w:ind w:left="3917" w:hanging="480"/>
      </w:pPr>
    </w:lvl>
    <w:lvl w:ilvl="7">
      <w:start w:val="1"/>
      <w:numFmt w:val="ideographTraditional"/>
      <w:lvlText w:val="%8、"/>
      <w:lvlJc w:val="left"/>
      <w:pPr>
        <w:ind w:left="4397" w:hanging="480"/>
      </w:pPr>
    </w:lvl>
    <w:lvl w:ilvl="8">
      <w:start w:val="1"/>
      <w:numFmt w:val="lowerRoman"/>
      <w:lvlText w:val="%9."/>
      <w:lvlJc w:val="right"/>
      <w:pPr>
        <w:ind w:left="4877" w:hanging="480"/>
      </w:pPr>
    </w:lvl>
  </w:abstractNum>
  <w:abstractNum w:abstractNumId="1" w15:restartNumberingAfterBreak="0">
    <w:nsid w:val="17751CAB"/>
    <w:multiLevelType w:val="multilevel"/>
    <w:tmpl w:val="26469974"/>
    <w:lvl w:ilvl="0">
      <w:start w:val="1"/>
      <w:numFmt w:val="taiwaneseCountingThousand"/>
      <w:lvlText w:val="(%1)"/>
      <w:lvlJc w:val="left"/>
      <w:pPr>
        <w:ind w:left="1277" w:hanging="720"/>
      </w:pPr>
      <w:rPr>
        <w:color w:val="auto"/>
      </w:rPr>
    </w:lvl>
    <w:lvl w:ilvl="1">
      <w:start w:val="1"/>
      <w:numFmt w:val="ideographTraditional"/>
      <w:lvlText w:val="%2、"/>
      <w:lvlJc w:val="left"/>
      <w:pPr>
        <w:ind w:left="1517" w:hanging="480"/>
      </w:pPr>
    </w:lvl>
    <w:lvl w:ilvl="2">
      <w:start w:val="1"/>
      <w:numFmt w:val="lowerRoman"/>
      <w:lvlText w:val="%3."/>
      <w:lvlJc w:val="right"/>
      <w:pPr>
        <w:ind w:left="1997" w:hanging="480"/>
      </w:pPr>
    </w:lvl>
    <w:lvl w:ilvl="3">
      <w:start w:val="1"/>
      <w:numFmt w:val="decimal"/>
      <w:lvlText w:val="%4."/>
      <w:lvlJc w:val="left"/>
      <w:pPr>
        <w:ind w:left="2477" w:hanging="480"/>
      </w:pPr>
    </w:lvl>
    <w:lvl w:ilvl="4">
      <w:start w:val="1"/>
      <w:numFmt w:val="ideographTraditional"/>
      <w:lvlText w:val="%5、"/>
      <w:lvlJc w:val="left"/>
      <w:pPr>
        <w:ind w:left="2957" w:hanging="480"/>
      </w:pPr>
    </w:lvl>
    <w:lvl w:ilvl="5">
      <w:start w:val="1"/>
      <w:numFmt w:val="lowerRoman"/>
      <w:lvlText w:val="%6."/>
      <w:lvlJc w:val="right"/>
      <w:pPr>
        <w:ind w:left="3437" w:hanging="480"/>
      </w:pPr>
    </w:lvl>
    <w:lvl w:ilvl="6">
      <w:start w:val="1"/>
      <w:numFmt w:val="decimal"/>
      <w:lvlText w:val="%7."/>
      <w:lvlJc w:val="left"/>
      <w:pPr>
        <w:ind w:left="3917" w:hanging="480"/>
      </w:pPr>
    </w:lvl>
    <w:lvl w:ilvl="7">
      <w:start w:val="1"/>
      <w:numFmt w:val="ideographTraditional"/>
      <w:lvlText w:val="%8、"/>
      <w:lvlJc w:val="left"/>
      <w:pPr>
        <w:ind w:left="4397" w:hanging="480"/>
      </w:pPr>
    </w:lvl>
    <w:lvl w:ilvl="8">
      <w:start w:val="1"/>
      <w:numFmt w:val="lowerRoman"/>
      <w:lvlText w:val="%9."/>
      <w:lvlJc w:val="right"/>
      <w:pPr>
        <w:ind w:left="4877" w:hanging="480"/>
      </w:pPr>
    </w:lvl>
  </w:abstractNum>
  <w:abstractNum w:abstractNumId="2" w15:restartNumberingAfterBreak="0">
    <w:nsid w:val="26680C43"/>
    <w:multiLevelType w:val="multilevel"/>
    <w:tmpl w:val="1CB0D016"/>
    <w:lvl w:ilvl="0">
      <w:start w:val="1"/>
      <w:numFmt w:val="taiwaneseCountingThousand"/>
      <w:lvlText w:val="(%1)"/>
      <w:lvlJc w:val="left"/>
      <w:pPr>
        <w:ind w:left="1277"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8AE29E4"/>
    <w:multiLevelType w:val="multilevel"/>
    <w:tmpl w:val="886E86F8"/>
    <w:lvl w:ilvl="0">
      <w:start w:val="1"/>
      <w:numFmt w:val="taiwaneseCountingThousand"/>
      <w:lvlText w:val="(%1)"/>
      <w:lvlJc w:val="left"/>
      <w:pPr>
        <w:ind w:left="1277" w:hanging="720"/>
      </w:pPr>
    </w:lvl>
    <w:lvl w:ilvl="1">
      <w:start w:val="1"/>
      <w:numFmt w:val="ideographTraditional"/>
      <w:lvlText w:val="%2、"/>
      <w:lvlJc w:val="left"/>
      <w:pPr>
        <w:ind w:left="1517" w:hanging="480"/>
      </w:pPr>
    </w:lvl>
    <w:lvl w:ilvl="2">
      <w:start w:val="1"/>
      <w:numFmt w:val="lowerRoman"/>
      <w:lvlText w:val="%3."/>
      <w:lvlJc w:val="right"/>
      <w:pPr>
        <w:ind w:left="1997" w:hanging="480"/>
      </w:pPr>
    </w:lvl>
    <w:lvl w:ilvl="3">
      <w:start w:val="1"/>
      <w:numFmt w:val="decimal"/>
      <w:lvlText w:val="%4."/>
      <w:lvlJc w:val="left"/>
      <w:pPr>
        <w:ind w:left="2477" w:hanging="480"/>
      </w:pPr>
    </w:lvl>
    <w:lvl w:ilvl="4">
      <w:start w:val="1"/>
      <w:numFmt w:val="ideographTraditional"/>
      <w:lvlText w:val="%5、"/>
      <w:lvlJc w:val="left"/>
      <w:pPr>
        <w:ind w:left="2957" w:hanging="480"/>
      </w:pPr>
    </w:lvl>
    <w:lvl w:ilvl="5">
      <w:start w:val="1"/>
      <w:numFmt w:val="lowerRoman"/>
      <w:lvlText w:val="%6."/>
      <w:lvlJc w:val="right"/>
      <w:pPr>
        <w:ind w:left="3437" w:hanging="480"/>
      </w:pPr>
    </w:lvl>
    <w:lvl w:ilvl="6">
      <w:start w:val="1"/>
      <w:numFmt w:val="decimal"/>
      <w:lvlText w:val="%7."/>
      <w:lvlJc w:val="left"/>
      <w:pPr>
        <w:ind w:left="3917" w:hanging="480"/>
      </w:pPr>
    </w:lvl>
    <w:lvl w:ilvl="7">
      <w:start w:val="1"/>
      <w:numFmt w:val="ideographTraditional"/>
      <w:lvlText w:val="%8、"/>
      <w:lvlJc w:val="left"/>
      <w:pPr>
        <w:ind w:left="4397" w:hanging="480"/>
      </w:pPr>
    </w:lvl>
    <w:lvl w:ilvl="8">
      <w:start w:val="1"/>
      <w:numFmt w:val="lowerRoman"/>
      <w:lvlText w:val="%9."/>
      <w:lvlJc w:val="right"/>
      <w:pPr>
        <w:ind w:left="4877" w:hanging="480"/>
      </w:pPr>
    </w:lvl>
  </w:abstractNum>
  <w:abstractNum w:abstractNumId="4" w15:restartNumberingAfterBreak="0">
    <w:nsid w:val="50E17E1A"/>
    <w:multiLevelType w:val="multilevel"/>
    <w:tmpl w:val="1F58B57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Moves/>
  <w:defaultTabStop w:val="480"/>
  <w:autoHyphenation/>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A6C"/>
    <w:rsid w:val="00385749"/>
    <w:rsid w:val="00455789"/>
    <w:rsid w:val="005B1DB5"/>
    <w:rsid w:val="00CA136D"/>
    <w:rsid w:val="00DC2D5C"/>
    <w:rsid w:val="00F72A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8ADE8-A0C7-4E84-A3AF-F8A3345A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Web">
    <w:name w:val="Normal (Web)"/>
    <w:basedOn w:val="a"/>
    <w:pPr>
      <w:widowControl/>
      <w:spacing w:before="100" w:after="100"/>
    </w:pPr>
    <w:rPr>
      <w:rFonts w:ascii="sөũ" w:hAnsi="sөũ" w:cs="新細明體"/>
      <w:kern w:val="0"/>
      <w:szCs w:val="24"/>
    </w:rPr>
  </w:style>
  <w:style w:type="paragraph" w:styleId="a5">
    <w:name w:val="Balloon Text"/>
    <w:basedOn w:val="a"/>
    <w:rPr>
      <w:rFonts w:ascii="Arial" w:hAnsi="Arial"/>
      <w:sz w:val="18"/>
      <w:szCs w:val="18"/>
    </w:rPr>
  </w:style>
  <w:style w:type="character" w:styleId="a6">
    <w:name w:val="page number"/>
    <w:basedOn w:val="a0"/>
  </w:style>
  <w:style w:type="character" w:styleId="a7">
    <w:name w:val="Hyperlink"/>
    <w:rPr>
      <w:color w:val="0563C1"/>
      <w:u w:val="single"/>
    </w:rPr>
  </w:style>
  <w:style w:type="character" w:styleId="a8">
    <w:name w:val="annotation reference"/>
    <w:rPr>
      <w:sz w:val="18"/>
      <w:szCs w:val="18"/>
    </w:rPr>
  </w:style>
  <w:style w:type="paragraph" w:styleId="a9">
    <w:name w:val="annotation text"/>
    <w:basedOn w:val="a"/>
  </w:style>
  <w:style w:type="character" w:customStyle="1" w:styleId="aa">
    <w:name w:val="註解文字 字元"/>
    <w:rPr>
      <w:kern w:val="3"/>
      <w:sz w:val="24"/>
    </w:rPr>
  </w:style>
  <w:style w:type="paragraph" w:styleId="ab">
    <w:name w:val="annotation subject"/>
    <w:basedOn w:val="a9"/>
    <w:next w:val="a9"/>
    <w:rPr>
      <w:b/>
      <w:bCs/>
    </w:rPr>
  </w:style>
  <w:style w:type="character" w:customStyle="1" w:styleId="ac">
    <w:name w:val="註解主旨 字元"/>
    <w:rPr>
      <w:b/>
      <w:bCs/>
      <w:kern w:val="3"/>
      <w:sz w:val="24"/>
    </w:rPr>
  </w:style>
  <w:style w:type="character" w:customStyle="1" w:styleId="ad">
    <w:name w:val="未解析的提及"/>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33258;&#39000;&#24615;&#20241;&#28417;\111&#27700;&#29986;&#21697;&#21312;&#24501;&#23637;&#35498;&#2612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111水產品區徵展說明</Template>
  <TotalTime>2</TotalTime>
  <Pages>3</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CAS優良農產品發展協會在農委會的委任下編印了『二○○五年CAS優良農產品業務用產品型錄』，目的是為了提供大型團膳單位或是需快速而有效的提供食品之供膳單位所需的不同程度加工產品之團膳單位方便採買選購</dc:title>
  <dc:subject/>
  <dc:creator>matsufish105</dc:creator>
  <cp:keywords/>
  <cp:lastModifiedBy>matsufish105</cp:lastModifiedBy>
  <cp:revision>1</cp:revision>
  <cp:lastPrinted>2021-03-29T06:54:00Z</cp:lastPrinted>
  <dcterms:created xsi:type="dcterms:W3CDTF">2022-03-14T06:02:00Z</dcterms:created>
  <dcterms:modified xsi:type="dcterms:W3CDTF">2022-03-14T06:04:00Z</dcterms:modified>
</cp:coreProperties>
</file>