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01" w:rsidRDefault="00B965E1">
      <w:pPr>
        <w:spacing w:line="7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連江縣青年節表揚優秀青年選拔實施要點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壹、目的</w:t>
      </w:r>
    </w:p>
    <w:p w:rsidR="00110101" w:rsidRDefault="00B965E1">
      <w:pPr>
        <w:spacing w:line="400" w:lineRule="exact"/>
        <w:ind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慶祝中華民國青年節，辦理社會暨學校優秀青年遴選及表揚活動，藉資表揚其優良德行及傑出事蹟，以為社會大眾之學習楷模，鼓勵青年奮發向上，做一個敦品勵學的好國民。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貳、表揚對象</w:t>
      </w:r>
    </w:p>
    <w:p w:rsidR="00110101" w:rsidRDefault="00B965E1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社會優秀青年：</w:t>
      </w:r>
      <w:r>
        <w:rPr>
          <w:rFonts w:ascii="標楷體" w:eastAsia="標楷體" w:hAnsi="標楷體"/>
          <w:sz w:val="28"/>
          <w:szCs w:val="28"/>
        </w:rPr>
        <w:t>18</w:t>
      </w:r>
      <w:r>
        <w:rPr>
          <w:rFonts w:ascii="標楷體" w:eastAsia="標楷體" w:hAnsi="標楷體"/>
          <w:sz w:val="28"/>
          <w:szCs w:val="28"/>
        </w:rPr>
        <w:t>歲以上、</w:t>
      </w:r>
      <w:r>
        <w:rPr>
          <w:rFonts w:ascii="標楷體" w:eastAsia="標楷體" w:hAnsi="標楷體"/>
          <w:sz w:val="28"/>
          <w:szCs w:val="28"/>
        </w:rPr>
        <w:t>45</w:t>
      </w:r>
      <w:r>
        <w:rPr>
          <w:rFonts w:ascii="標楷體" w:eastAsia="標楷體" w:hAnsi="標楷體"/>
          <w:sz w:val="28"/>
          <w:szCs w:val="28"/>
        </w:rPr>
        <w:t>歲以下服務於地區之青年。</w:t>
      </w:r>
    </w:p>
    <w:p w:rsidR="00110101" w:rsidRDefault="00B965E1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學校優秀青年學生：國立臺灣海洋大學馬祖校區、國立馬祖高級中學及本縣國民中學之在學學生。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參、表揚名額：</w:t>
      </w:r>
    </w:p>
    <w:p w:rsidR="00110101" w:rsidRDefault="00B965E1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社會優秀青年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名。</w:t>
      </w:r>
    </w:p>
    <w:p w:rsidR="00110101" w:rsidRDefault="00B965E1">
      <w:pPr>
        <w:numPr>
          <w:ilvl w:val="0"/>
          <w:numId w:val="2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學校優秀青年學生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名〈海大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名、馬中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名、各國中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名〉。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肆、推薦方式</w:t>
      </w:r>
    </w:p>
    <w:p w:rsidR="00110101" w:rsidRDefault="00B965E1">
      <w:pPr>
        <w:spacing w:line="40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一、推薦原則及限制：</w:t>
      </w:r>
    </w:p>
    <w:p w:rsidR="00110101" w:rsidRDefault="00B965E1">
      <w:pPr>
        <w:spacing w:line="40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社會優秀青年：</w:t>
      </w:r>
    </w:p>
    <w:p w:rsidR="00110101" w:rsidRDefault="00B965E1">
      <w:pPr>
        <w:spacing w:line="40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各機關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學校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推薦優秀青年參加表揚活動評選時，須符合下列條件：</w:t>
      </w:r>
    </w:p>
    <w:p w:rsidR="00110101" w:rsidRDefault="00B965E1">
      <w:pPr>
        <w:spacing w:line="400" w:lineRule="exact"/>
        <w:ind w:left="1133"/>
      </w:pP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cs="細明體"/>
          <w:kern w:val="0"/>
          <w:sz w:val="28"/>
          <w:szCs w:val="28"/>
        </w:rPr>
        <w:t>年齡在</w:t>
      </w:r>
      <w:r>
        <w:rPr>
          <w:rFonts w:ascii="標楷體" w:eastAsia="標楷體" w:hAnsi="標楷體" w:cs="細明體"/>
          <w:kern w:val="0"/>
          <w:sz w:val="28"/>
          <w:szCs w:val="28"/>
        </w:rPr>
        <w:t>18</w:t>
      </w:r>
      <w:r>
        <w:rPr>
          <w:rFonts w:ascii="標楷體" w:eastAsia="標楷體" w:hAnsi="標楷體" w:cs="細明體"/>
          <w:kern w:val="0"/>
          <w:sz w:val="28"/>
          <w:szCs w:val="28"/>
        </w:rPr>
        <w:t>歲以上、</w:t>
      </w:r>
      <w:r>
        <w:rPr>
          <w:rFonts w:ascii="標楷體" w:eastAsia="標楷體" w:hAnsi="標楷體" w:cs="細明體"/>
          <w:kern w:val="0"/>
          <w:sz w:val="28"/>
          <w:szCs w:val="28"/>
        </w:rPr>
        <w:t>45</w:t>
      </w:r>
      <w:r>
        <w:rPr>
          <w:rFonts w:ascii="標楷體" w:eastAsia="標楷體" w:hAnsi="標楷體" w:cs="細明體"/>
          <w:kern w:val="0"/>
          <w:sz w:val="28"/>
          <w:szCs w:val="28"/>
        </w:rPr>
        <w:t>歲以下服務於地區之青年</w:t>
      </w:r>
      <w:r>
        <w:rPr>
          <w:rFonts w:ascii="標楷體" w:eastAsia="標楷體" w:hAnsi="標楷體"/>
          <w:sz w:val="28"/>
          <w:szCs w:val="28"/>
        </w:rPr>
        <w:t>。</w:t>
      </w:r>
    </w:p>
    <w:p w:rsidR="00110101" w:rsidRDefault="00B965E1">
      <w:pPr>
        <w:spacing w:line="40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、品德才能足以為青年楷模。</w:t>
      </w:r>
    </w:p>
    <w:p w:rsidR="00110101" w:rsidRDefault="00B965E1">
      <w:pPr>
        <w:spacing w:line="40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、具有優良事蹟者。</w:t>
      </w:r>
    </w:p>
    <w:p w:rsidR="00110101" w:rsidRDefault="00B965E1">
      <w:pPr>
        <w:spacing w:line="40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、符合職業代表性者。</w:t>
      </w:r>
    </w:p>
    <w:p w:rsidR="00110101" w:rsidRDefault="00B965E1">
      <w:pPr>
        <w:spacing w:line="40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、曾參與社會公益活動或對縣政、教育、文化推展有貢獻者。</w:t>
      </w:r>
    </w:p>
    <w:p w:rsidR="00110101" w:rsidRDefault="00B965E1">
      <w:pPr>
        <w:spacing w:line="40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(</w:t>
      </w:r>
      <w:r>
        <w:rPr>
          <w:rFonts w:ascii="標楷體" w:eastAsia="標楷體" w:hAnsi="標楷體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學校優秀青年學生：</w:t>
      </w:r>
    </w:p>
    <w:p w:rsidR="00110101" w:rsidRDefault="00B965E1">
      <w:pPr>
        <w:spacing w:line="400" w:lineRule="exact"/>
        <w:ind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凡現就讀於國立臺灣海洋大學馬祖校區、國立馬祖高級中學及縣立國民中學之在學青年，經學校評定後，依所定名額薦送優秀青年學生接受表揚。</w:t>
      </w:r>
    </w:p>
    <w:p w:rsidR="00110101" w:rsidRDefault="00B965E1">
      <w:pPr>
        <w:spacing w:line="400" w:lineRule="exact"/>
        <w:ind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二、推薦方式：</w:t>
      </w:r>
    </w:p>
    <w:p w:rsidR="00110101" w:rsidRDefault="00B965E1">
      <w:pPr>
        <w:spacing w:line="400" w:lineRule="exact"/>
        <w:ind w:left="850"/>
      </w:pPr>
      <w:r>
        <w:rPr>
          <w:rFonts w:ascii="標楷體" w:eastAsia="標楷體" w:hAnsi="標楷體"/>
          <w:sz w:val="28"/>
          <w:szCs w:val="28"/>
        </w:rPr>
        <w:t>社會優秀青年及學校優秀青年於</w:t>
      </w:r>
      <w:r>
        <w:rPr>
          <w:rFonts w:ascii="標楷體" w:eastAsia="標楷體" w:hAnsi="標楷體"/>
          <w:sz w:val="28"/>
          <w:szCs w:val="28"/>
          <w:u w:val="single"/>
        </w:rPr>
        <w:t>每年</w:t>
      </w:r>
      <w:r>
        <w:rPr>
          <w:rFonts w:ascii="標楷體" w:eastAsia="標楷體" w:hAnsi="標楷體"/>
          <w:sz w:val="28"/>
          <w:szCs w:val="28"/>
          <w:u w:val="single"/>
        </w:rPr>
        <w:t>2</w:t>
      </w:r>
      <w:r>
        <w:rPr>
          <w:rFonts w:ascii="標楷體" w:eastAsia="標楷體" w:hAnsi="標楷體"/>
          <w:sz w:val="28"/>
          <w:szCs w:val="28"/>
          <w:u w:val="single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>28</w:t>
      </w:r>
      <w:r>
        <w:rPr>
          <w:rFonts w:ascii="標楷體" w:eastAsia="標楷體" w:hAnsi="標楷體"/>
          <w:sz w:val="28"/>
          <w:szCs w:val="28"/>
          <w:u w:val="single"/>
        </w:rPr>
        <w:t>日</w:t>
      </w:r>
      <w:r>
        <w:rPr>
          <w:rFonts w:ascii="標楷體" w:eastAsia="標楷體" w:hAnsi="標楷體"/>
          <w:sz w:val="28"/>
          <w:szCs w:val="28"/>
        </w:rPr>
        <w:t>前函報本府核定，逾期將不予受理。</w:t>
      </w:r>
    </w:p>
    <w:p w:rsidR="00110101" w:rsidRDefault="00B965E1">
      <w:pPr>
        <w:spacing w:line="400" w:lineRule="exact"/>
        <w:ind w:left="849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三、曾接受全國性優秀青年及本要點各該項表揚者，請勿再重複推薦，但高中優秀青年曾接受過國中優秀青年表揚者不在此限。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伍、應備書面資料</w:t>
      </w:r>
    </w:p>
    <w:p w:rsidR="00110101" w:rsidRDefault="00B965E1">
      <w:pPr>
        <w:spacing w:line="400" w:lineRule="exact"/>
        <w:ind w:lef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一、受推薦之優秀青年應填妥推薦表格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2)</w:t>
      </w:r>
      <w:r>
        <w:rPr>
          <w:rFonts w:ascii="標楷體" w:eastAsia="標楷體" w:hAnsi="標楷體"/>
          <w:sz w:val="28"/>
          <w:szCs w:val="28"/>
        </w:rPr>
        <w:t>，並檢附相關證明資料者為</w:t>
      </w:r>
    </w:p>
    <w:p w:rsidR="00110101" w:rsidRDefault="00B965E1">
      <w:pPr>
        <w:spacing w:line="400" w:lineRule="exact"/>
        <w:ind w:lef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優。</w:t>
      </w:r>
    </w:p>
    <w:p w:rsidR="00110101" w:rsidRDefault="00B965E1">
      <w:pPr>
        <w:spacing w:line="400" w:lineRule="exact"/>
        <w:ind w:left="2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二、推薦表之具體優良事蹟內容部分，應以事蹟發生先後詳實敘明，並以近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年之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重要事蹟為限，推薦單位應逐級核章。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陸、獎勵方式</w:t>
      </w:r>
    </w:p>
    <w:p w:rsidR="00110101" w:rsidRDefault="00B965E1">
      <w:pPr>
        <w:spacing w:line="400" w:lineRule="exac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凡經評選為優秀之青年，於慶祝青年節活動時，公開表揚頒發獎座（牌）以茲鼓勵。</w:t>
      </w:r>
    </w:p>
    <w:p w:rsidR="00110101" w:rsidRDefault="00B965E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柒、本要點自頒布日實施。</w:t>
      </w:r>
    </w:p>
    <w:p w:rsidR="00110101" w:rsidRDefault="00110101">
      <w:pPr>
        <w:pageBreakBefore/>
        <w:spacing w:line="680" w:lineRule="exact"/>
        <w:rPr>
          <w:rFonts w:ascii="標楷體" w:eastAsia="標楷體" w:hAnsi="標楷體"/>
          <w:sz w:val="28"/>
          <w:szCs w:val="28"/>
        </w:rPr>
      </w:pPr>
    </w:p>
    <w:p w:rsidR="00110101" w:rsidRDefault="00B965E1">
      <w:pPr>
        <w:spacing w:line="680" w:lineRule="exact"/>
        <w:jc w:val="center"/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-226698</wp:posOffset>
                </wp:positionH>
                <wp:positionV relativeFrom="paragraph">
                  <wp:posOffset>-342900</wp:posOffset>
                </wp:positionV>
                <wp:extent cx="685800" cy="342900"/>
                <wp:effectExtent l="19050" t="19050" r="19050" b="1905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0101" w:rsidRDefault="00B965E1">
                            <w:r>
                              <w:t>附件一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85pt;margin-top:-27pt;width:54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4E/QEAAAMEAAAOAAAAZHJzL2Uyb0RvYy54bWysU9tu2zAMfR+wfxD0vthJ3S414hRbgwwD&#10;inVAug+QZTkWoNtEJXb29aNkL023PRX1gyKSJ4fkIbW6G7QiR+FBWlPR+SynRBhuG2n2Ff3xtP2w&#10;pAQCMw1T1oiKngTQu/X7d6velWJhO6sa4QmSGCh7V9EuBFdmGfBOaAYz64TBYGu9ZgFNv88az3pk&#10;1ypb5PlN1lvfOG+5AEDvZgzSdeJvW8HDY9uCCERVFGsL6fTprOOZrVes3HvmOsmnMtgrqtBMGkx6&#10;ptqwwMjBy3+otOTegm3DjFud2baVXKQesJt5/lc3u445kXpBccCdZYK3o+Xfjt89kQ3OjhLDNI7o&#10;SQyBfLYDKaI6vYMSQTuHsDCgOyInP6AzNj20XsdfbIdgHHU+nbWNZBydN8vrZY4RjqGrYnGLd2TJ&#10;nv/sPIQvwmoSLxX1OLqkKDs+QBihfyAxF1glm61UKhl+X98rT44Mx7xN38T+AqYM6TH7cp5fYSHa&#10;YddNrVKWFzi4pMvT9z+6WM6GQTemTQwTTBlsLSo3KhRvYaiHSbbaNidUE18N9tlZ/4uSHjewovDz&#10;wLygRH01OOLbeVHElU1Gcf1xgYa/jNSXEWY4UlU0UDJe78O45rhnjoUHs3M8DiXKZeynQ7CtTLLG&#10;4saKpppx09JgplcRV/nSTqjnt7v+DQAA//8DAFBLAwQUAAYACAAAACEAtb+mc90AAAAHAQAADwAA&#10;AGRycy9kb3ducmV2LnhtbEyPwU7DMAyG70i8Q2QkbluytaOoNJ3QJG4cYEwIbl6TtRWJ0zXZVt4e&#10;c4KbLX/6/f3VevJOnO0Y+0AaFnMFwlITTE+tht3b0+weRExIBl0gq+HbRljX11cVliZc6NWet6kV&#10;HEKxRA1dSkMpZWw66zHOw2CJb4cweky8jq00I1443Du5VOpOeuyJP3Q42E1nm6/tyWs4PKvPj8nt&#10;jvliU2QeR/9yzN+1vr2ZHh9AJDulPxh+9VkdanbahxOZKJyGWbYqGOVhlXMpJoplBmKvQYGsK/nf&#10;v/4BAAD//wMAUEsBAi0AFAAGAAgAAAAhALaDOJL+AAAA4QEAABMAAAAAAAAAAAAAAAAAAAAAAFtD&#10;b250ZW50X1R5cGVzXS54bWxQSwECLQAUAAYACAAAACEAOP0h/9YAAACUAQAACwAAAAAAAAAAAAAA&#10;AAAvAQAAX3JlbHMvLnJlbHNQSwECLQAUAAYACAAAACEA3/aOBP0BAAADBAAADgAAAAAAAAAAAAAA&#10;AAAuAgAAZHJzL2Uyb0RvYy54bWxQSwECLQAUAAYACAAAACEAtb+mc90AAAAHAQAADwAAAAAAAAAA&#10;AAAAAABXBAAAZHJzL2Rvd25yZXYueG1sUEsFBgAAAAAEAAQA8wAAAGEFAAAAAA==&#10;" strokeweight="1.0584mm">
                <v:stroke linestyle="thinThin"/>
                <v:textbox>
                  <w:txbxContent>
                    <w:p w:rsidR="00110101" w:rsidRDefault="00B965E1">
                      <w: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連江縣青年節表揚優秀青年選拔活動</w:t>
      </w:r>
      <w:r>
        <w:rPr>
          <w:rFonts w:ascii="標楷體" w:eastAsia="標楷體" w:hAnsi="標楷體"/>
          <w:b/>
          <w:color w:val="FF0000"/>
          <w:sz w:val="32"/>
          <w:szCs w:val="32"/>
          <w:u w:val="double"/>
        </w:rPr>
        <w:t>社會優秀青年推薦表</w:t>
      </w:r>
    </w:p>
    <w:tbl>
      <w:tblPr>
        <w:tblW w:w="105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189"/>
        <w:gridCol w:w="1387"/>
        <w:gridCol w:w="1389"/>
        <w:gridCol w:w="991"/>
        <w:gridCol w:w="2578"/>
        <w:gridCol w:w="2124"/>
      </w:tblGrid>
      <w:tr w:rsidR="00110101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B965E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B965E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(O)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B965E1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照片</w:t>
            </w:r>
          </w:p>
          <w:p w:rsidR="00110101" w:rsidRDefault="00B965E1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二吋半身照片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(H)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B965E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手機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2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傳真</w:t>
            </w: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</w:tc>
        <w:tc>
          <w:tcPr>
            <w:tcW w:w="3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7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0101" w:rsidRDefault="00110101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8124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體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蹟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︵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用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影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印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填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  <w:p w:rsidR="00110101" w:rsidRDefault="00B965E1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︶</w:t>
            </w:r>
          </w:p>
        </w:tc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0101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B965E1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9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0101" w:rsidRDefault="00110101">
            <w:pPr>
              <w:spacing w:line="6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0101" w:rsidRDefault="00B965E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推薦單位：</w:t>
      </w:r>
    </w:p>
    <w:p w:rsidR="00110101" w:rsidRDefault="00B965E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承辦人員：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課長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主任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>單位主管：</w:t>
      </w:r>
      <w:bookmarkStart w:id="0" w:name="_GoBack"/>
      <w:bookmarkEnd w:id="0"/>
    </w:p>
    <w:sectPr w:rsidR="00110101">
      <w:pgSz w:w="11906" w:h="16838"/>
      <w:pgMar w:top="568" w:right="720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E1" w:rsidRDefault="00B965E1">
      <w:r>
        <w:separator/>
      </w:r>
    </w:p>
  </w:endnote>
  <w:endnote w:type="continuationSeparator" w:id="0">
    <w:p w:rsidR="00B965E1" w:rsidRDefault="00B9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E1" w:rsidRDefault="00B965E1">
      <w:r>
        <w:rPr>
          <w:color w:val="000000"/>
        </w:rPr>
        <w:separator/>
      </w:r>
    </w:p>
  </w:footnote>
  <w:footnote w:type="continuationSeparator" w:id="0">
    <w:p w:rsidR="00B965E1" w:rsidRDefault="00B9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10B1"/>
    <w:multiLevelType w:val="multilevel"/>
    <w:tmpl w:val="2F72A3F4"/>
    <w:lvl w:ilvl="0">
      <w:start w:val="1"/>
      <w:numFmt w:val="taiwaneseCountingThousand"/>
      <w:lvlText w:val="%1、"/>
      <w:lvlJc w:val="left"/>
      <w:pPr>
        <w:ind w:left="860" w:hanging="720"/>
      </w:p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61170D34"/>
    <w:multiLevelType w:val="multilevel"/>
    <w:tmpl w:val="673CEE80"/>
    <w:lvl w:ilvl="0">
      <w:start w:val="1"/>
      <w:numFmt w:val="taiwaneseCountingThousand"/>
      <w:lvlText w:val="%1、"/>
      <w:lvlJc w:val="left"/>
      <w:pPr>
        <w:ind w:left="840" w:hanging="72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10101"/>
    <w:rsid w:val="00110101"/>
    <w:rsid w:val="00153E22"/>
    <w:rsid w:val="00B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FACF0"/>
  <w15:docId w15:val="{8881E432-52E0-4C76-B9FD-6D17BC3D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連江縣96年紀念革命先烈暨慶祝青年節活動實施要點</dc:title>
  <dc:subject/>
  <dc:creator>社教課</dc:creator>
  <dc:description/>
  <cp:lastModifiedBy>163</cp:lastModifiedBy>
  <cp:revision>2</cp:revision>
  <cp:lastPrinted>2024-01-03T07:19:00Z</cp:lastPrinted>
  <dcterms:created xsi:type="dcterms:W3CDTF">2025-02-19T03:41:00Z</dcterms:created>
  <dcterms:modified xsi:type="dcterms:W3CDTF">2025-02-19T03:41:00Z</dcterms:modified>
</cp:coreProperties>
</file>